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Type="http://schemas.openxmlformats.org/officeDocument/2006/relationships/officeDocument" Target="word/document.xml" Id="R99a8a047a2f74d53"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1" name="CoverBg"/>
            <wp:cNvGraphicFramePr>
              <a:graphicFrameLocks noChangeAspect="1"/>
            </wp:cNvGraphicFramePr>
            <a:graphic>
              <a:graphicData uri="http://schemas.openxmlformats.org/drawingml/2006/picture">
                <pic:pic>
                  <pic:nvPicPr>
                    <pic:cNvPr id="0" name="CoverBg.png"/>
                    <pic:cNvPicPr/>
                  </pic:nvPicPr>
                  <pic:blipFill>
                    <a:blip r:embed="Rec07d47ddfe24917"/>
                    <a:stretch>
                      <a:fillRect/>
                    </a:stretch>
                  </pic:blipFill>
                  <pic:spPr>
                    <a:xfrm>
                      <a:off x="0" y="0"/>
                      <a:ext cx="7560000" cy="10692000"/>
                    </a:xfrm>
                    <a:prstGeom prst="rect"/>
                  </pic:spPr>
                </pic:pic>
              </a:graphicData>
            </a:graphic>
          </wp:anchor>
        </w:drawing>
      </w:r>
    </w:p>
    <w:p>
      <w:pPr>
        <w:spacing w:before="5400"/>
      </w:pPr>
      <w:r/>
    </w:p>
    <w:p>
      <w:pPr>
        <w:spacing w:after="120"/>
        <w:ind w:left="1200" w:right="1000"/>
      </w:pPr>
      <w:r>
        <w:rPr>
          <w:color w:val="A9C0CC"/>
          <w:spacing w:val="30"/>
          <w:sz w:val="26"/>
        </w:rPr>
        <w:t>BİRİO YAYINLARI</w:t>
      </w:r>
    </w:p>
    <w:p>
      <w:pPr>
        <w:spacing w:after="360"/>
        <w:ind w:left="1200" w:right="1000"/>
      </w:pPr>
      <w:r>
        <w:rPr>
          <w:b/>
          <w:color w:val="E9EFF3"/>
          <w:spacing w:val="20"/>
          <w:sz w:val="72"/>
        </w:rPr>
        <w:t>Yazar Yönergesi ve Makale Şablonu</w:t>
      </w:r>
    </w:p>
    <w:p>
      <w:pPr>
        <w:spacing w:after="2400"/>
        <w:ind w:left="1200" w:right="1400"/>
      </w:pPr>
      <w:r>
        <w:rPr>
          <w:color w:val="A9C0CC"/>
          <w:sz w:val="23"/>
        </w:rPr>
        <w:t>Hakemli akademik yayın platformu için resmî format, süreç ve etik çerçeve</w:t>
      </w:r>
    </w:p>
    <w:p>
      <w:pPr>
        <w:ind w:left="1200"/>
      </w:pPr>
      <w:r>
        <w:rPr>
          <w:color w:val="7FA3B5"/>
          <w:sz w:val="20"/>
        </w:rPr>
        <w:t>birio.ai/yayinlar  ·  Sürüm 1.0  ·  Temmuz 2026</w:t>
      </w:r>
    </w:p>
    <w:p>
      <w:pPr>
        <w:sectPr>
          <w:type w:val="nextPage"/>
          <w:pgSz w:w="11906" w:h="16838"/>
          <w:pgMar w:top="0" w:right="0" w:bottom="0" w:left="0" w:header="0" w:footer="0"/>
          <w:titlePg/>
        </w:sectPr>
      </w:pPr>
    </w:p>
    <w:p>
      <w:pPr>
        <w:pStyle w:val="Heading1"/>
      </w:pPr>
      <w:r>
        <w:t>İçindekiler</w:t>
      </w:r>
      <w:bookmarkStart w:name="_Toc101" w:id="1"/>
      <w:bookmarkEnd w:id="1"/>
    </w:p>
    <w:p>
      <w:pPr>
        <w:spacing w:after="280"/>
      </w:pPr>
      <w:r>
        <w:rPr>
          <w:color w:val="90A4AE"/>
          <w:sz w:val="18"/>
        </w:rPr>
        <w:t>Word'de açıldığında sayfa numaraları otomatik güncellenir; gerekirse sağ tıklayıp "Alanları Güncelleştir" seçin.</w:t>
      </w:r>
    </w:p>
    <w:p>
      <w:r>
        <w:fldChar w:fldCharType="begin"/>
      </w:r>
      <w:r>
        <w:instrText xml:space="preserve"> TOC \o "1-2" \h \z \u </w:instrText>
      </w:r>
      <w:r>
        <w:fldChar w:fldCharType="separate"/>
      </w:r>
    </w:p>
    <w:p>
      <w:pPr>
        <w:pStyle w:val="TOC1"/>
      </w:pPr>
      <w:r>
        <w:t>1. Dergi Hakkında</w:t>
      </w:r>
      <w:r>
        <w:tab/>
      </w:r>
      <w:r>
        <w:t>3</w:t>
      </w:r>
    </w:p>
    <w:p>
      <w:pPr>
        <w:pStyle w:val="TOC2"/>
      </w:pPr>
      <w:r>
        <w:t>1.1 Amaç ve Kapsam</w:t>
      </w:r>
      <w:r>
        <w:tab/>
      </w:r>
      <w:r>
        <w:t>3</w:t>
      </w:r>
    </w:p>
    <w:p>
      <w:pPr>
        <w:pStyle w:val="TOC2"/>
      </w:pPr>
      <w:r>
        <w:t>1.2 Yayın Modeli</w:t>
      </w:r>
      <w:r>
        <w:tab/>
      </w:r>
      <w:r>
        <w:t>3</w:t>
      </w:r>
    </w:p>
    <w:p>
      <w:pPr>
        <w:pStyle w:val="TOC2"/>
      </w:pPr>
      <w:r>
        <w:t>1.3 Künye ve Makale Numaralandırma</w:t>
      </w:r>
      <w:r>
        <w:tab/>
      </w:r>
      <w:r>
        <w:t>4</w:t>
      </w:r>
    </w:p>
    <w:p>
      <w:pPr>
        <w:pStyle w:val="TOC1"/>
      </w:pPr>
      <w:r>
        <w:t>2. Makale Türleri</w:t>
      </w:r>
      <w:r>
        <w:tab/>
      </w:r>
      <w:r>
        <w:t>5</w:t>
      </w:r>
    </w:p>
    <w:p>
      <w:pPr>
        <w:pStyle w:val="TOC1"/>
      </w:pPr>
      <w:r>
        <w:t>3. Hakemlik Süreci</w:t>
      </w:r>
      <w:r>
        <w:tab/>
      </w:r>
      <w:r>
        <w:t>6</w:t>
      </w:r>
    </w:p>
    <w:p>
      <w:pPr>
        <w:pStyle w:val="TOC2"/>
      </w:pPr>
      <w:r>
        <w:t>3.1 Süreç Akışı</w:t>
      </w:r>
      <w:r>
        <w:tab/>
      </w:r>
      <w:r>
        <w:t>6</w:t>
      </w:r>
    </w:p>
    <w:p>
      <w:pPr>
        <w:pStyle w:val="TOC2"/>
      </w:pPr>
      <w:r>
        <w:t>3.2 Değerlendirme Kriterleri</w:t>
      </w:r>
      <w:r>
        <w:tab/>
      </w:r>
      <w:r>
        <w:t>6</w:t>
      </w:r>
    </w:p>
    <w:p>
      <w:pPr>
        <w:pStyle w:val="TOC2"/>
      </w:pPr>
      <w:r>
        <w:t>3.3 Yapay Zekâ Destekli Değerlendirme ve AI Hakem Vizyonu</w:t>
      </w:r>
      <w:r>
        <w:tab/>
      </w:r>
      <w:r>
        <w:t>7</w:t>
      </w:r>
    </w:p>
    <w:p>
      <w:pPr>
        <w:pStyle w:val="TOC1"/>
      </w:pPr>
      <w:r>
        <w:t>4. Makale Yapısı ve Format Kuralları</w:t>
      </w:r>
      <w:r>
        <w:tab/>
      </w:r>
      <w:r>
        <w:t>8</w:t>
      </w:r>
    </w:p>
    <w:p>
      <w:pPr>
        <w:pStyle w:val="TOC2"/>
      </w:pPr>
      <w:r>
        <w:t>4.1 Makale Bölümleri</w:t>
      </w:r>
      <w:r>
        <w:tab/>
      </w:r>
      <w:r>
        <w:t>8</w:t>
      </w:r>
    </w:p>
    <w:p>
      <w:pPr>
        <w:pStyle w:val="TOC2"/>
      </w:pPr>
      <w:r>
        <w:t>4.2 Teknik Biçim Kuralları</w:t>
      </w:r>
      <w:r>
        <w:tab/>
      </w:r>
      <w:r>
        <w:t>8</w:t>
      </w:r>
    </w:p>
    <w:p>
      <w:pPr>
        <w:pStyle w:val="TOC2"/>
      </w:pPr>
      <w:r>
        <w:t>4.3 Atıf ve Kaynakça (APA 7)</w:t>
      </w:r>
      <w:r>
        <w:tab/>
      </w:r>
      <w:r>
        <w:t>9</w:t>
      </w:r>
    </w:p>
    <w:p>
      <w:pPr>
        <w:pStyle w:val="TOC2"/>
      </w:pPr>
      <w:r>
        <w:t>4.4 Tablo, Şekil ve Görseller</w:t>
      </w:r>
      <w:r>
        <w:tab/>
      </w:r>
      <w:r>
        <w:t>9</w:t>
      </w:r>
    </w:p>
    <w:p>
      <w:pPr>
        <w:pStyle w:val="TOC1"/>
      </w:pPr>
      <w:r>
        <w:t>5. Yayın Etiği</w:t>
      </w:r>
      <w:r>
        <w:tab/>
      </w:r>
      <w:r>
        <w:t>10</w:t>
      </w:r>
    </w:p>
    <w:p>
      <w:pPr>
        <w:pStyle w:val="TOC1"/>
      </w:pPr>
      <w:r>
        <w:t>6. Başvuru Süreci</w:t>
      </w:r>
      <w:r>
        <w:tab/>
      </w:r>
      <w:r>
        <w:t>11</w:t>
      </w:r>
    </w:p>
    <w:p>
      <w:pPr>
        <w:pStyle w:val="TOC2"/>
      </w:pPr>
      <w:r>
        <w:t>6.1 Nasıl Başvurulur</w:t>
      </w:r>
      <w:r>
        <w:tab/>
      </w:r>
      <w:r>
        <w:t>11</w:t>
      </w:r>
    </w:p>
    <w:p>
      <w:pPr>
        <w:pStyle w:val="TOC2"/>
      </w:pPr>
      <w:r>
        <w:t>6.2 Gönderim Kontrol Listesi</w:t>
      </w:r>
      <w:r>
        <w:tab/>
      </w:r>
      <w:r>
        <w:t>11</w:t>
      </w:r>
    </w:p>
    <w:p>
      <w:pPr>
        <w:pStyle w:val="TOC1"/>
      </w:pPr>
      <w:r>
        <w:t>7. Makale Şablonu</w:t>
      </w:r>
      <w:r>
        <w:tab/>
      </w:r>
      <w:r>
        <w:t>12</w:t>
      </w:r>
    </w:p>
    <w:p>
      <w:pPr>
        <w:pStyle w:val="TOC2"/>
      </w:pPr>
      <w:r>
        <w:t>7.1 Başlık Sayfası ve Künye</w:t>
      </w:r>
      <w:r>
        <w:tab/>
      </w:r>
      <w:r>
        <w:t>12</w:t>
      </w:r>
    </w:p>
    <w:p>
      <w:pPr>
        <w:pStyle w:val="TOC2"/>
      </w:pPr>
      <w:r>
        <w:t>7.2 Öz, Abstract ve Anahtar Kelimeler</w:t>
      </w:r>
      <w:r>
        <w:tab/>
      </w:r>
      <w:r>
        <w:t>12</w:t>
      </w:r>
    </w:p>
    <w:p>
      <w:pPr>
        <w:pStyle w:val="TOC2"/>
      </w:pPr>
      <w:r>
        <w:t>7.3 Metin Bölümleri</w:t>
      </w:r>
      <w:r>
        <w:tab/>
      </w:r>
      <w:r>
        <w:t>13</w:t>
      </w:r>
    </w:p>
    <w:p>
      <w:pPr>
        <w:pStyle w:val="TOC2"/>
      </w:pPr>
      <w:r>
        <w:t>7.4 Kaynakça Örnekleri</w:t>
      </w:r>
      <w:r>
        <w:tab/>
      </w:r>
      <w:r>
        <w:t>13</w:t>
      </w:r>
    </w:p>
    <w:p>
      <w:r>
        <w:fldChar w:fldCharType="end"/>
      </w:r>
    </w:p>
    <w:p>
      <w:pPr>
        <w:sectPr>
          <w:type w:val="nextPage"/>
          <w:pgSz w:w="11906" w:h="16838"/>
          <w:pgMar w:top="1800" w:right="1440" w:bottom="1440" w:left="1440" w:header="720" w:footer="720"/>
        </w:sectPr>
      </w:pPr>
    </w:p>
    <w:p>
      <w:pPr>
        <w:pStyle w:val="Heading1"/>
      </w:pPr>
      <w:r>
        <w:t>1. Dergi Hakkında</w:t>
      </w:r>
      <w:bookmarkStart w:name="_Toc102" w:id="2"/>
      <w:bookmarkEnd w:id="2"/>
    </w:p>
    <w:p>
      <w:pPr>
        <w:pStyle w:val="Heading2"/>
      </w:pPr>
      <w:r>
        <w:t>1.1 Amaç ve Kapsam</w:t>
      </w:r>
    </w:p>
    <w:p>
      <w:r>
        <w:t xml:space="preserve">BiriO Yayınları; insan, davranış ve organizasyon sistemleri alanında kuramsal metinler, model önerileri ve uygulama sonuçları yayımlayan hakemli bir akademik yayın platformudur. Platform iki amaca hizmet eder: BiriO ekosisteminde geliştirilen bilimsel modelleri ve ölçme araştırmalarını akademik topluluğa açmak; dışarıdan gelen nitelikli çalışmaları hakem değerlendirmesinden geçirerek alan araştırmacılarına açık ve güvenilir bir kaynak sunmak.</w:t>
      </w:r>
    </w:p>
    <w:p>
      <w:r>
        <w:t xml:space="preserve">Yayın kapsamı şu alanları içerir:</w:t>
      </w:r>
    </w:p>
    <w:p>
      <w:pPr>
        <w:numPr>
          <w:ilvl w:val="0"/>
          <w:numId w:val="2"/>
        </w:numPr>
        <w:ind w:left="720" w:hanging="360" w:firstLine="0"/>
      </w:pPr>
      <w:r>
        <w:t xml:space="preserve">Mizaç, kişilik ve davranış psikolojisi</w:t>
      </w:r>
    </w:p>
    <w:p>
      <w:pPr>
        <w:numPr>
          <w:ilvl w:val="0"/>
          <w:numId w:val="2"/>
        </w:numPr>
        <w:ind w:left="720" w:hanging="360" w:firstLine="0"/>
      </w:pPr>
      <w:r>
        <w:t xml:space="preserve">Kariyer psikolojisi ve mesleki uyum araştırmaları</w:t>
      </w:r>
    </w:p>
    <w:p>
      <w:pPr>
        <w:numPr>
          <w:ilvl w:val="0"/>
          <w:numId w:val="2"/>
        </w:numPr>
        <w:ind w:left="720" w:hanging="360" w:firstLine="0"/>
      </w:pPr>
      <w:r>
        <w:t xml:space="preserve">İnsan kaynaklarında ölçme ve değerlendirme (psikometri, envanter geliştirme, norm çalışmaları)</w:t>
      </w:r>
    </w:p>
    <w:p>
      <w:pPr>
        <w:numPr>
          <w:ilvl w:val="0"/>
          <w:numId w:val="2"/>
        </w:numPr>
        <w:ind w:left="720" w:hanging="360" w:firstLine="0"/>
      </w:pPr>
      <w:r>
        <w:t xml:space="preserve">Organizasyonel davranış, takım dinamikleri ve liderlik</w:t>
      </w:r>
    </w:p>
    <w:p>
      <w:pPr>
        <w:numPr>
          <w:ilvl w:val="0"/>
          <w:numId w:val="2"/>
        </w:numPr>
        <w:ind w:left="720" w:hanging="360" w:firstLine="0"/>
      </w:pPr>
      <w:r>
        <w:t xml:space="preserve">İş analizi, görev modelleme ve iş değerleme</w:t>
      </w:r>
    </w:p>
    <w:p>
      <w:pPr>
        <w:numPr>
          <w:ilvl w:val="0"/>
          <w:numId w:val="2"/>
        </w:numPr>
        <w:ind w:left="720" w:hanging="360" w:firstLine="0"/>
      </w:pPr>
      <w:r>
        <w:t xml:space="preserve">Yapay zekâ destekli organizasyon ve karar destek sistemleri</w:t>
      </w:r>
    </w:p>
    <w:p>
      <w:pPr>
        <w:pStyle w:val="Heading2"/>
      </w:pPr>
      <w:r>
        <w:t>1.2 Yayın Modeli</w:t>
      </w:r>
    </w:p>
    <w:p>
      <w:r>
        <w:t xml:space="preserve">Dergi açık erişimlidir; tüm makaleler birio.ai/yayinlar adresinde ücretsiz olarak yayımlanır. Sürekli yayın modeli uygulanır: hakem sürecini tamamlayan makaleler, sayı kapanışı beklenmeden ilgili cilt ve sayıya eklenir. Her makaleye benzersiz bir makale numarası, cilt, sayı ve sayfa aralığı atanır; bu künye makalenin kalıcı akademik referansıdır.</w:t>
      </w:r>
    </w:p>
    <w:p>
      <w:r>
        <w:t xml:space="preserve">Telif hakkı yazarlarda kalır. Makaleler, aksi belirtilmedikçe Creative Commons Atıf 4.0 (CC BY 4.0) lisansıyla yayımlanır; kaynak gösterilmek koşuluyla paylaşım ve yeniden kullanım serbesttir. Her makale tam metin HTML ve indirilebilir PDF olarak sunulur.</w:t>
      </w:r>
    </w:p>
    <w:p>
      <w:pPr>
        <w:pStyle w:val="Heading2"/>
      </w:pPr>
      <w:r>
        <w:t>1.3 Künye ve Makale Numaralandırma</w:t>
      </w:r>
    </w:p>
    <w:p>
      <w:r>
        <w:t xml:space="preserve">Her yayına aşağıdaki künye sistemi uygulanır. Künye, makale sayfasında ve PDF'in ilk sayfasında yer alır.</w:t>
      </w:r>
    </w:p>
    <w:tbl>
      <w:tblPr>
        <w:tblW w:w="5000" w:type="pct"/>
        <w:tblBorders>
          <w:top w:val="single" w:color="37474F" w:sz="12"/>
          <w:left w:val="nil"/>
          <w:bottom w:val="single" w:color="37474F" w:sz="12"/>
          <w:right w:val="nil"/>
          <w:insideH w:val="single" w:color="D5DBDE" w:sz="4"/>
          <w:insideV w:val="nil"/>
        </w:tblBorders>
      </w:tblPr>
      <w:tblGrid>
        <w:gridCol w:w="2600"/>
        <w:gridCol w:w="6400"/>
      </w:tblGrid>
      <w:tr>
        <w:trPr>
          <w:tblHeader/>
        </w:trPr>
        <w:tc>
          <w:tcPr>
            <w:tcW w:w="26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Alan</w:t>
            </w:r>
          </w:p>
        </w:tc>
        <w:tc>
          <w:tcPr>
            <w:tcW w:w="64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Kural</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Makale numarası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BA-YYYY-NNN biçiminde (örn. BA-2026-001); dergi içinde benzersizdir</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Cilt</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Takvim yılı başına 1 cilt (Cilt 1 = 2026)</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Sayı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Yılda 2 sayı: Sayı 1 (Ocak–Haziran), Sayı 2 (Temmuz–Aralık)</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Sayfa aralığı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Sayı içinde ardışık sayfalama (örn. s. 1–18)</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Yayın dili</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Türkçe; İngilizce geniş özet (abstract) zorunludur. İngilizce makaleler de kabul edilir</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Makale türü etiketi</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Kuramsal makale, Ampirik araştırma, Model ve araç önerisi, Uygulama ve vaka çalışması, Derleme</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Atıf biçimi</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BiriO Yayınları, Cilt X, Sayı Y, s. Z–Z (BA-YYYY-NNN)</w:t>
            </w:r>
          </w:p>
        </w:tc>
      </w:tr>
    </w:tbl>
    <w:p>
      <w:pPr>
        <w:pStyle w:val="Heading1"/>
      </w:pPr>
      <w:r>
        <w:t>2. Makale Türleri</w:t>
      </w:r>
      <w:bookmarkStart w:name="_Toc103" w:id="3"/>
      <w:bookmarkEnd w:id="3"/>
    </w:p>
    <w:p>
      <w:r>
        <w:t xml:space="preserve">Dergi beş makale türünde başvuru kabul eder. Başvuru sırasında yazar, makalesinin türünü belirtir; editör gerekli gördüğünde tür değişikliği önerebilir.</w:t>
      </w:r>
    </w:p>
    <w:tbl>
      <w:tblPr>
        <w:tblW w:w="5000" w:type="pct"/>
        <w:tblBorders>
          <w:top w:val="single" w:color="37474F" w:sz="12"/>
          <w:left w:val="nil"/>
          <w:bottom w:val="single" w:color="37474F" w:sz="12"/>
          <w:right w:val="nil"/>
          <w:insideH w:val="single" w:color="D5DBDE" w:sz="4"/>
          <w:insideV w:val="nil"/>
        </w:tblBorders>
      </w:tblPr>
      <w:tblGrid>
        <w:gridCol w:w="2300"/>
        <w:gridCol w:w="4700"/>
        <w:gridCol w:w="2000"/>
      </w:tblGrid>
      <w:tr>
        <w:trPr>
          <w:tblHeader/>
        </w:trPr>
        <w:tc>
          <w:tcPr>
            <w:tcW w:w="23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Tür</w:t>
            </w:r>
          </w:p>
        </w:tc>
        <w:tc>
          <w:tcPr>
            <w:tcW w:w="47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Tanım</w:t>
            </w:r>
          </w:p>
        </w:tc>
        <w:tc>
          <w:tcPr>
            <w:tcW w:w="20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Önerilen uzunluk</w:t>
            </w:r>
          </w:p>
        </w:tc>
      </w:tr>
      <w:tr>
        <w:tc>
          <w:tcPr>
            <w:tcW w:w="2300" w:type="dxa"/>
            <w:tcMar>
              <w:top w:w="60" w:type="dxa"/>
              <w:left w:w="100" w:type="dxa"/>
              <w:bottom w:w="60" w:type="dxa"/>
              <w:right w:w="100" w:type="dxa"/>
            </w:tcMar>
          </w:tcPr>
          <w:p>
            <w:pPr>
              <w:spacing w:before="40" w:after="40" w:line="264" w:lineRule="auto"/>
              <w:ind w:left="0" w:firstLine="0"/>
              <w:jc w:val="left"/>
            </w:pPr>
            <w:r>
              <w:rPr>
                <w:color w:val="546E7A"/>
                <w:sz w:val="20"/>
              </w:rPr>
              <w:t xml:space="preserve">Kuramsal makale</w:t>
            </w:r>
          </w:p>
        </w:tc>
        <w:tc>
          <w:tcPr>
            <w:tcW w:w="4700" w:type="dxa"/>
            <w:tcMar>
              <w:top w:w="60" w:type="dxa"/>
              <w:left w:w="100" w:type="dxa"/>
              <w:bottom w:w="60" w:type="dxa"/>
              <w:right w:w="100" w:type="dxa"/>
            </w:tcMar>
          </w:tcPr>
          <w:p>
            <w:pPr>
              <w:spacing w:before="40" w:after="40" w:line="264" w:lineRule="auto"/>
              <w:ind w:left="0" w:firstLine="0"/>
              <w:jc w:val="left"/>
            </w:pPr>
            <w:r>
              <w:rPr>
                <w:color w:val="546E7A"/>
                <w:sz w:val="20"/>
              </w:rPr>
              <w:t xml:space="preserve">Kavramsal çerçeve, yeni model veya sınanabilir hipotez önerisi</w:t>
            </w:r>
          </w:p>
        </w:tc>
        <w:tc>
          <w:tcPr>
            <w:tcW w:w="2000" w:type="dxa"/>
            <w:tcMar>
              <w:top w:w="60" w:type="dxa"/>
              <w:left w:w="100" w:type="dxa"/>
              <w:bottom w:w="60" w:type="dxa"/>
              <w:right w:w="100" w:type="dxa"/>
            </w:tcMar>
          </w:tcPr>
          <w:p>
            <w:pPr>
              <w:spacing w:before="40" w:after="40" w:line="264" w:lineRule="auto"/>
              <w:ind w:left="0" w:firstLine="0"/>
              <w:jc w:val="left"/>
            </w:pPr>
            <w:r>
              <w:rPr>
                <w:color w:val="546E7A"/>
                <w:sz w:val="20"/>
              </w:rPr>
              <w:t xml:space="preserve">4.000–8.000 kelime</w:t>
            </w:r>
          </w:p>
        </w:tc>
      </w:tr>
      <w:tr>
        <w:tc>
          <w:tcPr>
            <w:tcW w:w="2300" w:type="dxa"/>
            <w:tcMar>
              <w:top w:w="60" w:type="dxa"/>
              <w:left w:w="100" w:type="dxa"/>
              <w:bottom w:w="60" w:type="dxa"/>
              <w:right w:w="100" w:type="dxa"/>
            </w:tcMar>
          </w:tcPr>
          <w:p>
            <w:pPr>
              <w:spacing w:before="40" w:after="40" w:line="264" w:lineRule="auto"/>
              <w:ind w:left="0" w:firstLine="0"/>
              <w:jc w:val="left"/>
            </w:pPr>
            <w:r>
              <w:rPr>
                <w:color w:val="546E7A"/>
                <w:sz w:val="20"/>
              </w:rPr>
              <w:t xml:space="preserve">Ampirik araştırma</w:t>
            </w:r>
          </w:p>
        </w:tc>
        <w:tc>
          <w:tcPr>
            <w:tcW w:w="4700" w:type="dxa"/>
            <w:tcMar>
              <w:top w:w="60" w:type="dxa"/>
              <w:left w:w="100" w:type="dxa"/>
              <w:bottom w:w="60" w:type="dxa"/>
              <w:right w:w="100" w:type="dxa"/>
            </w:tcMar>
          </w:tcPr>
          <w:p>
            <w:pPr>
              <w:spacing w:before="40" w:after="40" w:line="264" w:lineRule="auto"/>
              <w:ind w:left="0" w:firstLine="0"/>
              <w:jc w:val="left"/>
            </w:pPr>
            <w:r>
              <w:rPr>
                <w:color w:val="546E7A"/>
                <w:sz w:val="20"/>
              </w:rPr>
              <w:t xml:space="preserve">Nicel, nitelik veya karma yöntemle veri temelli bulgular</w:t>
            </w:r>
          </w:p>
        </w:tc>
        <w:tc>
          <w:tcPr>
            <w:tcW w:w="2000" w:type="dxa"/>
            <w:tcMar>
              <w:top w:w="60" w:type="dxa"/>
              <w:left w:w="100" w:type="dxa"/>
              <w:bottom w:w="60" w:type="dxa"/>
              <w:right w:w="100" w:type="dxa"/>
            </w:tcMar>
          </w:tcPr>
          <w:p>
            <w:pPr>
              <w:spacing w:before="40" w:after="40" w:line="264" w:lineRule="auto"/>
              <w:ind w:left="0" w:firstLine="0"/>
              <w:jc w:val="left"/>
            </w:pPr>
            <w:r>
              <w:rPr>
                <w:color w:val="546E7A"/>
                <w:sz w:val="20"/>
              </w:rPr>
              <w:t xml:space="preserve">5.000–9.000 kelime</w:t>
            </w:r>
          </w:p>
        </w:tc>
      </w:tr>
      <w:tr>
        <w:tc>
          <w:tcPr>
            <w:tcW w:w="2300" w:type="dxa"/>
            <w:tcMar>
              <w:top w:w="60" w:type="dxa"/>
              <w:left w:w="100" w:type="dxa"/>
              <w:bottom w:w="60" w:type="dxa"/>
              <w:right w:w="100" w:type="dxa"/>
            </w:tcMar>
          </w:tcPr>
          <w:p>
            <w:pPr>
              <w:spacing w:before="40" w:after="40" w:line="264" w:lineRule="auto"/>
              <w:ind w:left="0" w:firstLine="0"/>
              <w:jc w:val="left"/>
            </w:pPr>
            <w:r>
              <w:rPr>
                <w:color w:val="546E7A"/>
                <w:sz w:val="20"/>
              </w:rPr>
              <w:t xml:space="preserve">Model ve araç önerisi</w:t>
            </w:r>
          </w:p>
        </w:tc>
        <w:tc>
          <w:tcPr>
            <w:tcW w:w="4700" w:type="dxa"/>
            <w:tcMar>
              <w:top w:w="60" w:type="dxa"/>
              <w:left w:w="100" w:type="dxa"/>
              <w:bottom w:w="60" w:type="dxa"/>
              <w:right w:w="100" w:type="dxa"/>
            </w:tcMar>
          </w:tcPr>
          <w:p>
            <w:pPr>
              <w:spacing w:before="40" w:after="40" w:line="264" w:lineRule="auto"/>
              <w:ind w:left="0" w:firstLine="0"/>
              <w:jc w:val="left"/>
            </w:pPr>
            <w:r>
              <w:rPr>
                <w:color w:val="546E7A"/>
                <w:sz w:val="20"/>
              </w:rPr>
              <w:t xml:space="preserve">Ölçme aracı, envanter, algoritma veya analitik çerçevenin tanıtımı ve doğrulaması</w:t>
            </w:r>
          </w:p>
        </w:tc>
        <w:tc>
          <w:tcPr>
            <w:tcW w:w="2000" w:type="dxa"/>
            <w:tcMar>
              <w:top w:w="60" w:type="dxa"/>
              <w:left w:w="100" w:type="dxa"/>
              <w:bottom w:w="60" w:type="dxa"/>
              <w:right w:w="100" w:type="dxa"/>
            </w:tcMar>
          </w:tcPr>
          <w:p>
            <w:pPr>
              <w:spacing w:before="40" w:after="40" w:line="264" w:lineRule="auto"/>
              <w:ind w:left="0" w:firstLine="0"/>
              <w:jc w:val="left"/>
            </w:pPr>
            <w:r>
              <w:rPr>
                <w:color w:val="546E7A"/>
                <w:sz w:val="20"/>
              </w:rPr>
              <w:t xml:space="preserve">4.000–8.000 kelime</w:t>
            </w:r>
          </w:p>
        </w:tc>
      </w:tr>
      <w:tr>
        <w:tc>
          <w:tcPr>
            <w:tcW w:w="2300" w:type="dxa"/>
            <w:tcMar>
              <w:top w:w="60" w:type="dxa"/>
              <w:left w:w="100" w:type="dxa"/>
              <w:bottom w:w="60" w:type="dxa"/>
              <w:right w:w="100" w:type="dxa"/>
            </w:tcMar>
          </w:tcPr>
          <w:p>
            <w:pPr>
              <w:spacing w:before="40" w:after="40" w:line="264" w:lineRule="auto"/>
              <w:ind w:left="0" w:firstLine="0"/>
              <w:jc w:val="left"/>
            </w:pPr>
            <w:r>
              <w:rPr>
                <w:color w:val="546E7A"/>
                <w:sz w:val="20"/>
              </w:rPr>
              <w:t xml:space="preserve">Uygulama ve vaka çalışması</w:t>
            </w:r>
          </w:p>
        </w:tc>
        <w:tc>
          <w:tcPr>
            <w:tcW w:w="4700" w:type="dxa"/>
            <w:tcMar>
              <w:top w:w="60" w:type="dxa"/>
              <w:left w:w="100" w:type="dxa"/>
              <w:bottom w:w="60" w:type="dxa"/>
              <w:right w:w="100" w:type="dxa"/>
            </w:tcMar>
          </w:tcPr>
          <w:p>
            <w:pPr>
              <w:spacing w:before="40" w:after="40" w:line="264" w:lineRule="auto"/>
              <w:ind w:left="0" w:firstLine="0"/>
              <w:jc w:val="left"/>
            </w:pPr>
            <w:r>
              <w:rPr>
                <w:color w:val="546E7A"/>
                <w:sz w:val="20"/>
              </w:rPr>
              <w:t xml:space="preserve">Kurum içi uygulama deneyimi, sonuçları ve öğrenilen dersler</w:t>
            </w:r>
          </w:p>
        </w:tc>
        <w:tc>
          <w:tcPr>
            <w:tcW w:w="2000" w:type="dxa"/>
            <w:tcMar>
              <w:top w:w="60" w:type="dxa"/>
              <w:left w:w="100" w:type="dxa"/>
              <w:bottom w:w="60" w:type="dxa"/>
              <w:right w:w="100" w:type="dxa"/>
            </w:tcMar>
          </w:tcPr>
          <w:p>
            <w:pPr>
              <w:spacing w:before="40" w:after="40" w:line="264" w:lineRule="auto"/>
              <w:ind w:left="0" w:firstLine="0"/>
              <w:jc w:val="left"/>
            </w:pPr>
            <w:r>
              <w:rPr>
                <w:color w:val="546E7A"/>
                <w:sz w:val="20"/>
              </w:rPr>
              <w:t xml:space="preserve">3.000–6.000 kelime</w:t>
            </w:r>
          </w:p>
        </w:tc>
      </w:tr>
      <w:tr>
        <w:tc>
          <w:tcPr>
            <w:tcW w:w="2300" w:type="dxa"/>
            <w:tcMar>
              <w:top w:w="60" w:type="dxa"/>
              <w:left w:w="100" w:type="dxa"/>
              <w:bottom w:w="60" w:type="dxa"/>
              <w:right w:w="100" w:type="dxa"/>
            </w:tcMar>
          </w:tcPr>
          <w:p>
            <w:pPr>
              <w:spacing w:before="40" w:after="40" w:line="264" w:lineRule="auto"/>
              <w:ind w:left="0" w:firstLine="0"/>
              <w:jc w:val="left"/>
            </w:pPr>
            <w:r>
              <w:rPr>
                <w:color w:val="546E7A"/>
                <w:sz w:val="20"/>
              </w:rPr>
              <w:t xml:space="preserve">Derleme</w:t>
            </w:r>
          </w:p>
        </w:tc>
        <w:tc>
          <w:tcPr>
            <w:tcW w:w="4700" w:type="dxa"/>
            <w:tcMar>
              <w:top w:w="60" w:type="dxa"/>
              <w:left w:w="100" w:type="dxa"/>
              <w:bottom w:w="60" w:type="dxa"/>
              <w:right w:w="100" w:type="dxa"/>
            </w:tcMar>
          </w:tcPr>
          <w:p>
            <w:pPr>
              <w:spacing w:before="40" w:after="40" w:line="264" w:lineRule="auto"/>
              <w:ind w:left="0" w:firstLine="0"/>
              <w:jc w:val="left"/>
            </w:pPr>
            <w:r>
              <w:rPr>
                <w:color w:val="546E7A"/>
                <w:sz w:val="20"/>
              </w:rPr>
              <w:t xml:space="preserve">Alan literatürünün eleştirel ve bütünleştirici özeti</w:t>
            </w:r>
          </w:p>
        </w:tc>
        <w:tc>
          <w:tcPr>
            <w:tcW w:w="2000" w:type="dxa"/>
            <w:tcMar>
              <w:top w:w="60" w:type="dxa"/>
              <w:left w:w="100" w:type="dxa"/>
              <w:bottom w:w="60" w:type="dxa"/>
              <w:right w:w="100" w:type="dxa"/>
            </w:tcMar>
          </w:tcPr>
          <w:p>
            <w:pPr>
              <w:spacing w:before="40" w:after="40" w:line="264" w:lineRule="auto"/>
              <w:ind w:left="0" w:firstLine="0"/>
              <w:jc w:val="left"/>
            </w:pPr>
            <w:r>
              <w:rPr>
                <w:color w:val="546E7A"/>
                <w:sz w:val="20"/>
              </w:rPr>
              <w:t xml:space="preserve">6.000–10.000 kelime</w:t>
            </w:r>
          </w:p>
        </w:tc>
      </w:tr>
    </w:tbl>
    <w:p>
      <w:r>
        <w:t xml:space="preserve">Uzunluklar kaynakça ve ekler hariç gövde metni içindir. Sınırı aşan çalışmalar için başvuru öncesinde editöre danışılması önerilir.</w:t>
      </w:r>
    </w:p>
    <w:p>
      <w:pPr>
        <w:pStyle w:val="Heading1"/>
      </w:pPr>
      <w:r>
        <w:t>3. Hakemlik Süreci</w:t>
      </w:r>
      <w:bookmarkStart w:name="_Toc104" w:id="4"/>
      <w:bookmarkEnd w:id="4"/>
    </w:p>
    <w:p>
      <w:pPr>
        <w:pStyle w:val="Heading2"/>
      </w:pPr>
      <w:r>
        <w:t>3.1 Süreç Akışı</w:t>
      </w:r>
    </w:p>
    <w:p>
      <w:r>
        <w:t xml:space="preserve">Tüm dış başvurular çift-kör hakemlik ilkesiyle değerlendirilir: yazarlar hakemleri, hakemler yazarları bilmez. Dergi içi (BiriO ekibi) başvurular da aynı süreçten geçer ve dış hakem ataması zorunludur.</w:t>
      </w:r>
    </w:p>
    <w:p>
      <w:pPr>
        <w:numPr>
          <w:ilvl w:val="0"/>
          <w:numId w:val="1"/>
        </w:numPr>
        <w:ind w:left="720" w:hanging="360" w:firstLine="0"/>
      </w:pPr>
      <w:r>
        <w:rPr>
          <w:b/>
        </w:rPr>
        <w:t>Ön inceleme — </w:t>
      </w:r>
      <w:r>
        <w:t xml:space="preserve">Editör, başvurunun kapsam uygunluğunu, biçim kurallarına uyumunu ve intihal taraması sonucunu inceler. Bu aşama yaklaşık 1 hafta sürer; uygun bulunmayan başvurular gerekçesiyle iade edilir.</w:t>
      </w:r>
    </w:p>
    <w:p>
      <w:pPr>
        <w:numPr>
          <w:ilvl w:val="0"/>
          <w:numId w:val="1"/>
        </w:numPr>
        <w:ind w:left="720" w:hanging="360" w:firstLine="0"/>
      </w:pPr>
      <w:r>
        <w:rPr>
          <w:b/>
        </w:rPr>
        <w:t>Yapay zekâ destekli ön değerlendirme — </w:t>
      </w:r>
      <w:r>
        <w:t xml:space="preserve">Metin bütünlüğü, atıf–kaynakça tutarlılığı ve istatistiksel raporlama standartları otomatik kontrollerden geçirilir; sonuç raporu hakemlere destek dokümanı olarak iletilir.</w:t>
      </w:r>
    </w:p>
    <w:p>
      <w:pPr>
        <w:numPr>
          <w:ilvl w:val="0"/>
          <w:numId w:val="1"/>
        </w:numPr>
        <w:ind w:left="720" w:hanging="360" w:firstLine="0"/>
      </w:pPr>
      <w:r>
        <w:rPr>
          <w:b/>
        </w:rPr>
        <w:t>Hakem ataması — </w:t>
      </w:r>
      <w:r>
        <w:t xml:space="preserve">Konu uzmanlığına göre en az iki bağımsız hakem görevlendirilir. Hakemlerle yazarlar arasında çıkar çatışması olmamasına dikkat edilir.</w:t>
      </w:r>
    </w:p>
    <w:p>
      <w:pPr>
        <w:numPr>
          <w:ilvl w:val="0"/>
          <w:numId w:val="1"/>
        </w:numPr>
        <w:ind w:left="720" w:hanging="360" w:firstLine="0"/>
      </w:pPr>
      <w:r>
        <w:rPr>
          <w:b/>
        </w:rPr>
        <w:t>Hakem değerlendirmesi — </w:t>
      </w:r>
      <w:r>
        <w:t xml:space="preserve">Hakem raporlarının 4–6 hafta içinde tamamlanması hedeflenir. Karar seçenekleri: kabul, küçük revizyon, büyük revizyon, ret.</w:t>
      </w:r>
    </w:p>
    <w:p>
      <w:pPr>
        <w:numPr>
          <w:ilvl w:val="0"/>
          <w:numId w:val="1"/>
        </w:numPr>
        <w:ind w:left="720" w:hanging="360" w:firstLine="0"/>
      </w:pPr>
      <w:r>
        <w:rPr>
          <w:b/>
        </w:rPr>
        <w:t>Revizyon — </w:t>
      </w:r>
      <w:r>
        <w:t xml:space="preserve">Yazar, düzeltilmiş metni ve her hakem yorumuna tek tek yanıt veren bir yanıt mektubuyla birlikte gönderir. Büyük revizyonlar aynı hakemlere geri gider.</w:t>
      </w:r>
    </w:p>
    <w:p>
      <w:pPr>
        <w:numPr>
          <w:ilvl w:val="0"/>
          <w:numId w:val="1"/>
        </w:numPr>
        <w:ind w:left="720" w:hanging="360" w:firstLine="0"/>
      </w:pPr>
      <w:r>
        <w:rPr>
          <w:b/>
        </w:rPr>
        <w:t>Nihai karar ve yayın — </w:t>
      </w:r>
      <w:r>
        <w:t xml:space="preserve">Editör nihai kararı verir; kabul edilen makaleye künye atanır, tam metin ve PDF üretilir, yayın arşivine eklenir.</w:t>
      </w:r>
    </w:p>
    <w:p>
      <w:pPr>
        <w:pStyle w:val="Heading2"/>
      </w:pPr>
      <w:r>
        <w:t>3.2 Değerlendirme Kriterleri</w:t>
      </w:r>
    </w:p>
    <w:p>
      <w:pPr>
        <w:numPr>
          <w:ilvl w:val="0"/>
          <w:numId w:val="2"/>
        </w:numPr>
        <w:ind w:left="720" w:hanging="360" w:firstLine="0"/>
      </w:pPr>
      <w:r>
        <w:t xml:space="preserve">Özgünlük ve katkı: Çalışma alana yeni bir kavram, model, kanıt veya yöntem kazandırıyor mu?</w:t>
      </w:r>
    </w:p>
    <w:p>
      <w:pPr>
        <w:numPr>
          <w:ilvl w:val="0"/>
          <w:numId w:val="2"/>
        </w:numPr>
        <w:ind w:left="720" w:hanging="360" w:firstLine="0"/>
      </w:pPr>
      <w:r>
        <w:t xml:space="preserve">Kuramsal temel: Argümanlar ilgili literatüre sağlam biçimde dayanıyor mu?</w:t>
      </w:r>
    </w:p>
    <w:p>
      <w:pPr>
        <w:numPr>
          <w:ilvl w:val="0"/>
          <w:numId w:val="2"/>
        </w:numPr>
        <w:ind w:left="720" w:hanging="360" w:firstLine="0"/>
      </w:pPr>
      <w:r>
        <w:t xml:space="preserve">Yöntemsel tutarlılık: Araştırma sorusu, yöntem ve analiz birbiriyle uyumlu mu?</w:t>
      </w:r>
    </w:p>
    <w:p>
      <w:pPr>
        <w:numPr>
          <w:ilvl w:val="0"/>
          <w:numId w:val="2"/>
        </w:numPr>
        <w:ind w:left="720" w:hanging="360" w:firstLine="0"/>
      </w:pPr>
      <w:r>
        <w:t xml:space="preserve">Kanıt kalitesi: Veri, örneklem ve analizler çıkarımları destekleyecek güçte mi?</w:t>
      </w:r>
    </w:p>
    <w:p>
      <w:pPr>
        <w:numPr>
          <w:ilvl w:val="0"/>
          <w:numId w:val="2"/>
        </w:numPr>
        <w:ind w:left="720" w:hanging="360" w:firstLine="0"/>
      </w:pPr>
      <w:r>
        <w:t xml:space="preserve">Yazım ve organizasyon: Metin açık, tutarlı ve akademik üsluba uygun mu?</w:t>
      </w:r>
    </w:p>
    <w:p>
      <w:pPr>
        <w:numPr>
          <w:ilvl w:val="0"/>
          <w:numId w:val="2"/>
        </w:numPr>
        <w:ind w:left="720" w:hanging="360" w:firstLine="0"/>
      </w:pPr>
      <w:r>
        <w:t xml:space="preserve">Etik uygunluk: Etik kurul onayı, onam, veri gizliliği ve beyanlar eksiksiz mi?</w:t>
      </w:r>
    </w:p>
    <w:p>
      <w:pPr>
        <w:pStyle w:val="Heading2"/>
      </w:pPr>
      <w:r>
        <w:t>3.3 Yapay Zekâ Destekli Değerlendirme ve AI Hakem Vizyonu</w:t>
      </w:r>
    </w:p>
    <w:p>
      <w:r>
        <w:t xml:space="preserve">BiriO Yayınları'nın uzun vadeli hedefi, hakem değerlendirmesinin ölçülebilir boyutlarını yapay zekâ sistemleriyle otomatikleştirmek ve kademeli olarak AI hakemli dergi modeline geçmektir. Geçiş üç aşamada planlanır:</w:t>
      </w:r>
    </w:p>
    <w:p>
      <w:pPr>
        <w:numPr>
          <w:ilvl w:val="0"/>
          <w:numId w:val="1"/>
        </w:numPr>
        <w:ind w:left="720" w:hanging="360" w:firstLine="0"/>
      </w:pPr>
      <w:r>
        <w:rPr>
          <w:b/>
        </w:rPr>
        <w:t>Aşama 1 — AI destekli ön kontrol — </w:t>
      </w:r>
      <w:r>
        <w:t xml:space="preserve">Yapay zekâ; biçimsel tutarlılık, atıf doğruluğu ve raporlama standartlarını denetler, insan hakemlere yapılandırılmış ön rapor üretir. Karar tamamen insanlardadır. (Mevcut aşama)</w:t>
      </w:r>
    </w:p>
    <w:p>
      <w:pPr>
        <w:numPr>
          <w:ilvl w:val="0"/>
          <w:numId w:val="1"/>
        </w:numPr>
        <w:ind w:left="720" w:hanging="360" w:firstLine="0"/>
      </w:pPr>
      <w:r>
        <w:rPr>
          <w:b/>
        </w:rPr>
        <w:t>Aşama 2 — AI hakem + insan editör onayı — </w:t>
      </w:r>
      <w:r>
        <w:t xml:space="preserve">Yapay zekâ, bağımsız bir hakem gibi gerekçeli değerlendirme raporu yazar; insan editör nihai kararı AI raporu ve insan hakem görüşlerini birlikte değerlendirerek verir.</w:t>
      </w:r>
    </w:p>
    <w:p>
      <w:pPr>
        <w:numPr>
          <w:ilvl w:val="0"/>
          <w:numId w:val="1"/>
        </w:numPr>
        <w:ind w:left="720" w:hanging="360" w:firstLine="0"/>
      </w:pPr>
      <w:r>
        <w:rPr>
          <w:b/>
        </w:rPr>
        <w:t>Aşama 3 — Tam otomatik değerlendirme + insan üst denetimi — </w:t>
      </w:r>
      <w:r>
        <w:t xml:space="preserve">Standart kontroller uçtan uca otomatikleşir; insan editör kurulu yalnızca itirazları, sınır vakaları ve etik değerlendirmeleri yönetir.</w:t>
      </w:r>
    </w:p>
    <w:p>
      <w:r>
        <w:t xml:space="preserve">Her aşamada bilimsel sorumluluk insan editörde kalır. AI değerlendirmeleri yazara her zaman gerekçesiyle açıklanır ve yazara insan hakem talep etme hakkı tanınır.</w:t>
      </w:r>
    </w:p>
    <w:p>
      <w:pPr>
        <w:pStyle w:val="Heading1"/>
      </w:pPr>
      <w:r>
        <w:t>4. Makale Yapısı ve Format Kuralları</w:t>
      </w:r>
      <w:bookmarkStart w:name="_Toc105" w:id="5"/>
      <w:bookmarkEnd w:id="5"/>
    </w:p>
    <w:p>
      <w:pPr>
        <w:pStyle w:val="Heading2"/>
      </w:pPr>
      <w:r>
        <w:t>4.1 Makale Bölümleri</w:t>
      </w:r>
    </w:p>
    <w:p>
      <w:r>
        <w:t xml:space="preserve">Makaleler aşağıdaki bölüm sırasını izler. Kuramsal makalelerde "Yöntem" ve "Bulgular" bölümleri yer almayabilir; bunun yerine modelin dayanaklarını ve sınanabilir çıkarımlarını sunan bölümler kullanılır.</w:t>
      </w:r>
    </w:p>
    <w:p>
      <w:pPr>
        <w:numPr>
          <w:ilvl w:val="0"/>
          <w:numId w:val="1"/>
        </w:numPr>
        <w:ind w:left="720" w:hanging="360" w:firstLine="0"/>
      </w:pPr>
      <w:r>
        <w:rPr>
          <w:b/>
        </w:rPr>
        <w:t>Başlık sayfası — </w:t>
      </w:r>
      <w:r>
        <w:t xml:space="preserve">Türkçe ve İngilizce başlık; tüm yazarların adları, kurumları, ORCID numaraları ve sorumlu yazarın iletişim bilgisi. Kör değerlendirme için bu sayfa ayrı dosya olarak gönderilir.</w:t>
      </w:r>
    </w:p>
    <w:p>
      <w:pPr>
        <w:numPr>
          <w:ilvl w:val="0"/>
          <w:numId w:val="1"/>
        </w:numPr>
        <w:ind w:left="720" w:hanging="360" w:firstLine="0"/>
      </w:pPr>
      <w:r>
        <w:rPr>
          <w:b/>
        </w:rPr>
        <w:t>Öz — </w:t>
      </w:r>
      <w:r>
        <w:t xml:space="preserve">150–250 kelime; amaç, yöntem/yaklaşım, temel bulgu veya öneri ve sonucu kapsar. 4–6 anahtar kelime eklenir.</w:t>
      </w:r>
    </w:p>
    <w:p>
      <w:pPr>
        <w:numPr>
          <w:ilvl w:val="0"/>
          <w:numId w:val="1"/>
        </w:numPr>
        <w:ind w:left="720" w:hanging="360" w:firstLine="0"/>
      </w:pPr>
      <w:r>
        <w:rPr>
          <w:b/>
        </w:rPr>
        <w:t>Abstract — </w:t>
      </w:r>
      <w:r>
        <w:t xml:space="preserve">Öz'ün İngilizce karşılığı ve keywords. Türkçe makalelerde zorunludur.</w:t>
      </w:r>
    </w:p>
    <w:p>
      <w:pPr>
        <w:numPr>
          <w:ilvl w:val="0"/>
          <w:numId w:val="1"/>
        </w:numPr>
        <w:ind w:left="720" w:hanging="360" w:firstLine="0"/>
      </w:pPr>
      <w:r>
        <w:rPr>
          <w:b/>
        </w:rPr>
        <w:t>Giriş — </w:t>
      </w:r>
      <w:r>
        <w:t xml:space="preserve">Sorunun tanımı, literatürdeki boşluk, çalışmanın amacı ve katkısı.</w:t>
      </w:r>
    </w:p>
    <w:p>
      <w:pPr>
        <w:numPr>
          <w:ilvl w:val="0"/>
          <w:numId w:val="1"/>
        </w:numPr>
        <w:ind w:left="720" w:hanging="360" w:firstLine="0"/>
      </w:pPr>
      <w:r>
        <w:rPr>
          <w:b/>
        </w:rPr>
        <w:t>Kuramsal çerçeve — </w:t>
      </w:r>
      <w:r>
        <w:t xml:space="preserve">Temel kavramların tanımları ve argümanın dayandığı kuramsal zemin.</w:t>
      </w:r>
    </w:p>
    <w:p>
      <w:pPr>
        <w:numPr>
          <w:ilvl w:val="0"/>
          <w:numId w:val="1"/>
        </w:numPr>
        <w:ind w:left="720" w:hanging="360" w:firstLine="0"/>
      </w:pPr>
      <w:r>
        <w:rPr>
          <w:b/>
        </w:rPr>
        <w:t>Yöntem — </w:t>
      </w:r>
      <w:r>
        <w:t xml:space="preserve">Örneklem, ölçme araçları, veri toplama süreci ve analiz yaklaşımı (ampirik çalışmalar için).</w:t>
      </w:r>
    </w:p>
    <w:p>
      <w:pPr>
        <w:numPr>
          <w:ilvl w:val="0"/>
          <w:numId w:val="1"/>
        </w:numPr>
        <w:ind w:left="720" w:hanging="360" w:firstLine="0"/>
      </w:pPr>
      <w:r>
        <w:rPr>
          <w:b/>
        </w:rPr>
        <w:t>Bulgular — </w:t>
      </w:r>
      <w:r>
        <w:t xml:space="preserve">Analiz sonuçları; tablo ve şekillerle desteklenir.</w:t>
      </w:r>
    </w:p>
    <w:p>
      <w:pPr>
        <w:numPr>
          <w:ilvl w:val="0"/>
          <w:numId w:val="1"/>
        </w:numPr>
        <w:ind w:left="720" w:hanging="360" w:firstLine="0"/>
      </w:pPr>
      <w:r>
        <w:rPr>
          <w:b/>
        </w:rPr>
        <w:t>Tartışma — </w:t>
      </w:r>
      <w:r>
        <w:t xml:space="preserve">Bulguların literatürle ilişkisi, kuramsal ve uygulamaya dönük çıkarımlar.</w:t>
      </w:r>
    </w:p>
    <w:p>
      <w:pPr>
        <w:numPr>
          <w:ilvl w:val="0"/>
          <w:numId w:val="1"/>
        </w:numPr>
        <w:ind w:left="720" w:hanging="360" w:firstLine="0"/>
      </w:pPr>
      <w:r>
        <w:rPr>
          <w:b/>
        </w:rPr>
        <w:t>Sonuç ve sınırlılıklar — </w:t>
      </w:r>
      <w:r>
        <w:t xml:space="preserve">Temel katkının özeti, çalışmanın sınırları ve gelecek araştırma önerileri.</w:t>
      </w:r>
    </w:p>
    <w:p>
      <w:pPr>
        <w:numPr>
          <w:ilvl w:val="0"/>
          <w:numId w:val="1"/>
        </w:numPr>
        <w:ind w:left="720" w:hanging="360" w:firstLine="0"/>
      </w:pPr>
      <w:r>
        <w:rPr>
          <w:b/>
        </w:rPr>
        <w:t>Etik beyanlar — </w:t>
      </w:r>
      <w:r>
        <w:t xml:space="preserve">Etik kurul onayı, çıkar çatışması, yazarlık katkıları ve yapay zekâ araç kullanımı beyanları.</w:t>
      </w:r>
    </w:p>
    <w:p>
      <w:pPr>
        <w:numPr>
          <w:ilvl w:val="0"/>
          <w:numId w:val="1"/>
        </w:numPr>
        <w:ind w:left="720" w:hanging="360" w:firstLine="0"/>
      </w:pPr>
      <w:r>
        <w:rPr>
          <w:b/>
        </w:rPr>
        <w:t>Kaynakça ve ekler — </w:t>
      </w:r>
      <w:r>
        <w:t xml:space="preserve">APA 7 biçiminde kaynakça; varsa ek tablolar, ölçme aracı maddeleri veya veri seti bağlantıları.</w:t>
      </w:r>
    </w:p>
    <w:p>
      <w:pPr>
        <w:pStyle w:val="Heading2"/>
      </w:pPr>
      <w:r>
        <w:t>4.2 Teknik Biçim Kuralları</w:t>
      </w:r>
    </w:p>
    <w:tbl>
      <w:tblPr>
        <w:tblW w:w="5000" w:type="pct"/>
        <w:tblBorders>
          <w:top w:val="single" w:color="37474F" w:sz="12"/>
          <w:left w:val="nil"/>
          <w:bottom w:val="single" w:color="37474F" w:sz="12"/>
          <w:right w:val="nil"/>
          <w:insideH w:val="single" w:color="D5DBDE" w:sz="4"/>
          <w:insideV w:val="nil"/>
        </w:tblBorders>
      </w:tblPr>
      <w:tblGrid>
        <w:gridCol w:w="2600"/>
        <w:gridCol w:w="6400"/>
      </w:tblGrid>
      <w:tr>
        <w:trPr>
          <w:tblHeader/>
        </w:trPr>
        <w:tc>
          <w:tcPr>
            <w:tcW w:w="26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Öğe</w:t>
            </w:r>
          </w:p>
        </w:tc>
        <w:tc>
          <w:tcPr>
            <w:tcW w:w="64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Kural</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Sayfa boyutu</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A4 (21 × 29,7 cm)</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Kenar boşlukları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Tüm kenarlarda 2,5 cm</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Gövde yazısı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Times New Roman 12 punto, iki yana yaslı, 1,5 satır aralığı</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Başlıklar</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Numaralı hiyerarşi: 1., 1.1., 1.1.1. (en fazla üç düzey)</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Paragraf girintisi</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İlk satır 1,25 cm; bölüm başlığından sonraki ilk paragraf hariç</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Sayfa numarası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Alt orta; ilk sayfa künye sayfasıdır</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Dosya formatı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Gönderim: .docx; yayın: HTML + PDF</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Uzunluk</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Bölüm 2'deki tür tablosundaki sınırlar</w:t>
            </w:r>
          </w:p>
        </w:tc>
      </w:tr>
    </w:tbl>
    <w:p>
      <w:pPr>
        <w:pStyle w:val="Heading2"/>
      </w:pPr>
      <w:r>
        <w:t>4.3 Atıf ve Kaynakça (APA 7)</w:t>
      </w:r>
    </w:p>
    <w:p>
      <w:r>
        <w:t xml:space="preserve">Metin içi atıflar ve kaynakça APA 7. sürüme göre düzenlenir. Metin içinde tek yazarlı çalışmalar için (Yılmaz, 2024), iki yazarlı çalışmalar için (Yılmaz &amp; Demir, 2024), üç ve üzeri yazarlı çalışmalar için (Yılmaz vd., 2024) biçimi kullanılır. Doğrudan alıntılarda sayfa numarası verilir: (Yılmaz, 2024, s. 45).</w:t>
      </w:r>
    </w:p>
    <w:p>
      <w:r>
        <w:t xml:space="preserve">Kaynakça alfabetik sıralanır ve asılı girintiyle yazılır. Ayrıntılı örnekler Bölüm 7.4'teki şablonda verilmiştir.</w:t>
      </w:r>
    </w:p>
    <w:p>
      <w:pPr>
        <w:pStyle w:val="Heading2"/>
      </w:pPr>
      <w:r>
        <w:t>4.4 Tablo, Şekil ve Görseller</w:t>
      </w:r>
    </w:p>
    <w:p>
      <w:pPr>
        <w:numPr>
          <w:ilvl w:val="0"/>
          <w:numId w:val="2"/>
        </w:numPr>
        <w:ind w:left="720" w:hanging="360" w:firstLine="0"/>
      </w:pPr>
      <w:r>
        <w:t xml:space="preserve">Tablolar üç çizgili akademik biçimde hazırlanır; dikey çizgi kullanılmaz.</w:t>
      </w:r>
    </w:p>
    <w:p>
      <w:pPr>
        <w:numPr>
          <w:ilvl w:val="0"/>
          <w:numId w:val="2"/>
        </w:numPr>
        <w:ind w:left="720" w:hanging="360" w:firstLine="0"/>
      </w:pPr>
      <w:r>
        <w:t xml:space="preserve">Tablo başlıkları tablonun üstünde, şekil başlıkları şeklin altında yer alır; numaralandırma metin boyunca ardışıktır (Tablo 1, Şekil 1).</w:t>
      </w:r>
    </w:p>
    <w:p>
      <w:pPr>
        <w:numPr>
          <w:ilvl w:val="0"/>
          <w:numId w:val="2"/>
        </w:numPr>
        <w:ind w:left="720" w:hanging="360" w:firstLine="0"/>
      </w:pPr>
      <w:r>
        <w:t xml:space="preserve">Görseller en az 300 dpi çözünürlükte gönderilir; metin içinde okunabilirlik zorunludur.</w:t>
      </w:r>
    </w:p>
    <w:p>
      <w:pPr>
        <w:numPr>
          <w:ilvl w:val="0"/>
          <w:numId w:val="2"/>
        </w:numPr>
        <w:ind w:left="720" w:hanging="360" w:firstLine="0"/>
      </w:pPr>
      <w:r>
        <w:t xml:space="preserve">Her tablo ve şekil metin içinde en az bir kez anılır (örn. "Tablo 1'de görüldüğü gibi...").</w:t>
      </w:r>
    </w:p>
    <w:p>
      <w:pPr>
        <w:numPr>
          <w:ilvl w:val="0"/>
          <w:numId w:val="2"/>
        </w:numPr>
        <w:ind w:left="720" w:hanging="360" w:firstLine="0"/>
      </w:pPr>
      <w:r>
        <w:t xml:space="preserve">Analiz verisi ve kodunun ek veya kalıcı bağlantıyla paylaşılması teşvik edilir.</w:t>
      </w:r>
    </w:p>
    <w:p>
      <w:pPr>
        <w:pStyle w:val="Heading1"/>
      </w:pPr>
      <w:r>
        <w:t>5. Yayın Etiği</w:t>
      </w:r>
      <w:bookmarkStart w:name="_Toc106" w:id="6"/>
      <w:bookmarkEnd w:id="6"/>
    </w:p>
    <w:p>
      <w:r>
        <w:t xml:space="preserve">BiriO Yayınları, yayın etiğinde COPE (Committee on Publication Ethics) ilkelerini izler. Tüm başvurular aşağıdaki koşulları kabul etmiş sayılır:</w:t>
      </w:r>
    </w:p>
    <w:p>
      <w:pPr>
        <w:numPr>
          <w:ilvl w:val="0"/>
          <w:numId w:val="2"/>
        </w:numPr>
        <w:ind w:left="720" w:hanging="360" w:firstLine="0"/>
      </w:pPr>
      <w:r>
        <w:t xml:space="preserve">İntihal: Gönderiler benzerlik taramasından geçirilir; kaynakça ve yöntem tanımları hariç %15'in üzerinde benzerlik taşıyan metinler reddedilir. İntihal tespit edilen yayınlar geri çekilir.</w:t>
      </w:r>
    </w:p>
    <w:p>
      <w:pPr>
        <w:numPr>
          <w:ilvl w:val="0"/>
          <w:numId w:val="2"/>
        </w:numPr>
        <w:ind w:left="720" w:hanging="360" w:firstLine="0"/>
      </w:pPr>
      <w:r>
        <w:t xml:space="preserve">Yazarlık: Yazar listesindeki herkes çalışmaya önemli bilimsel katkı yapmış olmalıdır; katkı rolleri (kavramsallaştırma, veri, analiz, yazım vb.) makalede beyan edilir. Onur veya hayalet yazarlık kabul edilmez.</w:t>
      </w:r>
    </w:p>
    <w:p>
      <w:pPr>
        <w:numPr>
          <w:ilvl w:val="0"/>
          <w:numId w:val="2"/>
        </w:numPr>
        <w:ind w:left="720" w:hanging="360" w:firstLine="0"/>
      </w:pPr>
      <w:r>
        <w:t xml:space="preserve">Yapay zekâ araçları: AI araçlarının kullanımı (metin yazımı, çeviri, analiz desteği) makalede açıkça beyan edilir. AI araçları yazar olarak gösterilemez; bilimsel içerik ve doğruluktan yazarlar sorumludur.</w:t>
      </w:r>
    </w:p>
    <w:p>
      <w:pPr>
        <w:numPr>
          <w:ilvl w:val="0"/>
          <w:numId w:val="2"/>
        </w:numPr>
        <w:ind w:left="720" w:hanging="360" w:firstLine="0"/>
      </w:pPr>
      <w:r>
        <w:t xml:space="preserve">Çıkar çatışması: Finansal veya kişisel çıkar ilişkileri makalede beyan edilir. BiriO çalışanlarının başvurularında kurumsal ilişki açıkça belirtilir.</w:t>
      </w:r>
    </w:p>
    <w:p>
      <w:pPr>
        <w:numPr>
          <w:ilvl w:val="0"/>
          <w:numId w:val="2"/>
        </w:numPr>
        <w:ind w:left="720" w:hanging="360" w:firstLine="0"/>
      </w:pPr>
      <w:r>
        <w:t xml:space="preserve">İnsan araştırmaları: Katılımcı içeren çalışmalarda etik kurul onayı ve bilgilendirilmiş onam zorunludur; onay bilgisi Yöntem bölümünde ve etik beyanlarda yer alır.</w:t>
      </w:r>
    </w:p>
    <w:p>
      <w:pPr>
        <w:numPr>
          <w:ilvl w:val="0"/>
          <w:numId w:val="2"/>
        </w:numPr>
        <w:ind w:left="720" w:hanging="360" w:firstLine="0"/>
      </w:pPr>
      <w:r>
        <w:t xml:space="preserve">Veri gizliliği: Kişisel veriler KVKK ve GDPR hükümlerine uygun işlenir; yayınlanan veri setleri anonimleştirilmiş olmalıdır.</w:t>
      </w:r>
    </w:p>
    <w:p>
      <w:pPr>
        <w:numPr>
          <w:ilvl w:val="0"/>
          <w:numId w:val="2"/>
        </w:numPr>
        <w:ind w:left="720" w:hanging="360" w:firstLine="0"/>
      </w:pPr>
      <w:r>
        <w:t xml:space="preserve">Tekerrürlü yayın: Başka bir dergide değerlendirme süreci devam eden veya yayımlanmış çalışmalar kabul edilmez.</w:t>
      </w:r>
    </w:p>
    <w:p>
      <w:pPr>
        <w:pStyle w:val="Heading1"/>
      </w:pPr>
      <w:r>
        <w:t>6. Başvuru Süreci</w:t>
      </w:r>
      <w:bookmarkStart w:name="_Toc107" w:id="7"/>
      <w:bookmarkEnd w:id="7"/>
    </w:p>
    <w:p>
      <w:pPr>
        <w:pStyle w:val="Heading2"/>
      </w:pPr>
      <w:r>
        <w:t>6.1 Nasıl Başvurulur</w:t>
      </w:r>
    </w:p>
    <w:p>
      <w:r>
        <w:t xml:space="preserve">Başvurular birio.ai/yayinlar sayfasındaki başvuru bağlantısı üzerinden alınır. Gönderimde iki ayrı dosya istenir: (1) yazar bilgisi içermeyen kör makale metni (.docx), (2) başlık sayfası. Ampirik çalışmalarda veri seti ve ölçme araçları ek dosya olarak yüklenebilir. Başvuru alındığında yazara makale numarası ön kaydı ve süreç takip bağlantısı iletilir.</w:t>
      </w:r>
    </w:p>
    <w:p>
      <w:pPr>
        <w:pStyle w:val="Heading2"/>
      </w:pPr>
      <w:r>
        <w:t>6.2 Gönderim Kontrol Listesi</w:t>
      </w:r>
    </w:p>
    <w:p>
      <w:r>
        <w:t xml:space="preserve">Gönderimden önce aşağıdaki kontrol listesini doğrulayın:</w:t>
      </w:r>
    </w:p>
    <w:p>
      <w:pPr>
        <w:numPr>
          <w:ilvl w:val="0"/>
          <w:numId w:val="2"/>
        </w:numPr>
        <w:ind w:left="720" w:hanging="360" w:firstLine="0"/>
      </w:pPr>
      <w:r>
        <w:t xml:space="preserve">Makale, Bölüm 1.1'deki yayın kapsamına uygun</w:t>
      </w:r>
    </w:p>
    <w:p>
      <w:pPr>
        <w:numPr>
          <w:ilvl w:val="0"/>
          <w:numId w:val="2"/>
        </w:numPr>
        <w:ind w:left="720" w:hanging="360" w:firstLine="0"/>
      </w:pPr>
      <w:r>
        <w:t xml:space="preserve">Makale türü belirlendi ve uzunluk sınırına uyuldu</w:t>
      </w:r>
    </w:p>
    <w:p>
      <w:pPr>
        <w:numPr>
          <w:ilvl w:val="0"/>
          <w:numId w:val="2"/>
        </w:numPr>
        <w:ind w:left="720" w:hanging="360" w:firstLine="0"/>
      </w:pPr>
      <w:r>
        <w:t xml:space="preserve">Öz (150–250 kelime), Abstract, 4–6 anahtar kelime ve keywords eklendi</w:t>
      </w:r>
    </w:p>
    <w:p>
      <w:pPr>
        <w:numPr>
          <w:ilvl w:val="0"/>
          <w:numId w:val="2"/>
        </w:numPr>
        <w:ind w:left="720" w:hanging="360" w:firstLine="0"/>
      </w:pPr>
      <w:r>
        <w:t xml:space="preserve">Biçim kuralları (Bölüm 4.2) uygulandı</w:t>
      </w:r>
    </w:p>
    <w:p>
      <w:pPr>
        <w:numPr>
          <w:ilvl w:val="0"/>
          <w:numId w:val="2"/>
        </w:numPr>
        <w:ind w:left="720" w:hanging="360" w:firstLine="0"/>
      </w:pPr>
      <w:r>
        <w:t xml:space="preserve">Tüm atıflar APA 7 biçiminde; kaynakça ile metin içi atıflar bire bir eşleşiyor</w:t>
      </w:r>
    </w:p>
    <w:p>
      <w:pPr>
        <w:numPr>
          <w:ilvl w:val="0"/>
          <w:numId w:val="2"/>
        </w:numPr>
        <w:ind w:left="720" w:hanging="360" w:firstLine="0"/>
      </w:pPr>
      <w:r>
        <w:t xml:space="preserve">Kör metinde yazar kimliğini ele veren ifade kalmadı</w:t>
      </w:r>
    </w:p>
    <w:p>
      <w:pPr>
        <w:numPr>
          <w:ilvl w:val="0"/>
          <w:numId w:val="2"/>
        </w:numPr>
        <w:ind w:left="720" w:hanging="360" w:firstLine="0"/>
      </w:pPr>
      <w:r>
        <w:t xml:space="preserve">Etik kurul onayı, çıkar çatışması ve AI araç kullanımı beyanları hazır</w:t>
      </w:r>
    </w:p>
    <w:p>
      <w:pPr>
        <w:numPr>
          <w:ilvl w:val="0"/>
          <w:numId w:val="2"/>
        </w:numPr>
        <w:ind w:left="720" w:hanging="360" w:firstLine="0"/>
      </w:pPr>
      <w:r>
        <w:t xml:space="preserve">Tablo ve şekiller numaralı, başlıklı ve metin içinde anılmış</w:t>
      </w:r>
    </w:p>
    <w:p>
      <w:pPr>
        <w:pStyle w:val="Heading1"/>
      </w:pPr>
      <w:r>
        <w:t>7. Makale Şablonu</w:t>
      </w:r>
      <w:bookmarkStart w:name="_Toc108" w:id="8"/>
      <w:bookmarkEnd w:id="8"/>
    </w:p>
    <w:p>
      <w:r>
        <w:t xml:space="preserve">Bu bölüm, yeni makalelerin üzerine yazılacağı hazır iskeleti sunar. Köşeli ayraç içindeki açıklamaları kendi içeriğinizle değiştirin ve açıklama metinlerini silin.</w:t>
      </w:r>
    </w:p>
    <w:p>
      <w:pPr>
        <w:pStyle w:val="Heading2"/>
      </w:pPr>
      <w:r>
        <w:t>7.1 Başlık Sayfası ve Künye</w:t>
      </w:r>
    </w:p>
    <w:tbl>
      <w:tblPr>
        <w:tblW w:w="5000" w:type="pct"/>
        <w:tblBorders>
          <w:top w:val="single" w:color="37474F" w:sz="12"/>
          <w:left w:val="nil"/>
          <w:bottom w:val="single" w:color="37474F" w:sz="12"/>
          <w:right w:val="nil"/>
          <w:insideH w:val="single" w:color="D5DBDE" w:sz="4"/>
          <w:insideV w:val="nil"/>
        </w:tblBorders>
      </w:tblPr>
      <w:tblGrid>
        <w:gridCol w:w="2600"/>
        <w:gridCol w:w="6400"/>
      </w:tblGrid>
      <w:tr>
        <w:trPr>
          <w:tblHeader/>
        </w:trPr>
        <w:tc>
          <w:tcPr>
            <w:tcW w:w="26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Alan</w:t>
            </w:r>
          </w:p>
        </w:tc>
        <w:tc>
          <w:tcPr>
            <w:tcW w:w="6400" w:type="dxa"/>
            <w:tcBorders>
              <w:bottom w:val="single" w:color="37474F" w:sz="6"/>
            </w:tcBorders>
            <w:shd w:val="clear" w:fill="ECEFF1"/>
            <w:tcMar>
              <w:top w:w="60" w:type="dxa"/>
              <w:left w:w="100" w:type="dxa"/>
              <w:bottom w:w="60" w:type="dxa"/>
              <w:right w:w="100" w:type="dxa"/>
            </w:tcMar>
          </w:tcPr>
          <w:p>
            <w:pPr>
              <w:spacing w:before="40" w:after="40" w:line="264" w:lineRule="auto"/>
              <w:ind w:left="0" w:firstLine="0"/>
              <w:jc w:val="left"/>
            </w:pPr>
            <w:r>
              <w:rPr>
                <w:b/>
                <w:color w:val="263238"/>
                <w:sz w:val="20"/>
              </w:rPr>
              <w:t xml:space="preserve">İçerik</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Makale No</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BA-YYYY-NNN (editör tarafından atanır)</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Makale Türü</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[Kuramsal makale / Ampirik araştırma / Model ve araç önerisi / Uygulama ve vaka çalışması / Derleme]</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Cilt / Sayı</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[Cilt X, Sayı Y — editör tarafından atanır]</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Tarihler</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Geliş: [GG.AA.YYYY] · Kabul: [GG.AA.YYYY] · Yayın: [GG.AA.YYYY]</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Başlık (TR)</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[Makale başlığınız — en fazla 15 kelime]</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Başlık (EN)</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[İngilizce başlık]</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Yazarlar</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[Ad Soyad¹, Ad Soyad² — kurum bilgileri dipnot numaralarıyla]</w:t>
            </w:r>
          </w:p>
        </w:tc>
      </w:tr>
      <w:tr>
        <w:tc>
          <w:tcPr>
            <w:tcW w:w="2600" w:type="dxa"/>
            <w:tcMar>
              <w:top w:w="60" w:type="dxa"/>
              <w:left w:w="100" w:type="dxa"/>
              <w:bottom w:w="60" w:type="dxa"/>
              <w:right w:w="100" w:type="dxa"/>
            </w:tcMar>
          </w:tcPr>
          <w:p>
            <w:pPr>
              <w:spacing w:before="40" w:after="40" w:line="264" w:lineRule="auto"/>
              <w:ind w:left="0" w:firstLine="0"/>
              <w:jc w:val="left"/>
            </w:pPr>
            <w:r>
              <w:rPr>
                <w:color w:val="546E7A"/>
                <w:sz w:val="20"/>
              </w:rPr>
              <w:t xml:space="preserve">Sorumlu yazar</w:t>
            </w:r>
          </w:p>
        </w:tc>
        <w:tc>
          <w:tcPr>
            <w:tcW w:w="6400" w:type="dxa"/>
            <w:tcMar>
              <w:top w:w="60" w:type="dxa"/>
              <w:left w:w="100" w:type="dxa"/>
              <w:bottom w:w="60" w:type="dxa"/>
              <w:right w:w="100" w:type="dxa"/>
            </w:tcMar>
          </w:tcPr>
          <w:p>
            <w:pPr>
              <w:spacing w:before="40" w:after="40" w:line="264" w:lineRule="auto"/>
              <w:ind w:left="0" w:firstLine="0"/>
              <w:jc w:val="left"/>
            </w:pPr>
            <w:r>
              <w:rPr>
                <w:color w:val="546E7A"/>
                <w:sz w:val="20"/>
              </w:rPr>
              <w:t xml:space="preserve">[Ad Soyad, kurum, e-posta, ORCID]</w:t>
            </w:r>
          </w:p>
        </w:tc>
      </w:tr>
    </w:tbl>
    <w:p>
      <w:pPr>
        <w:pStyle w:val="Heading2"/>
      </w:pPr>
      <w:r>
        <w:t>7.2 Öz, Abstract ve Anahtar Kelimeler</w:t>
      </w:r>
    </w:p>
    <w:p>
      <w:pPr>
        <w:pStyle w:val="Heading3"/>
      </w:pPr>
      <w:r>
        <w:t>Öz</w:t>
      </w:r>
    </w:p>
    <w:p>
      <w:pPr>
        <w:ind w:left="360"/>
      </w:pPr>
      <w:r>
        <w:rPr>
          <w:i/>
          <w:color w:val="546E7A"/>
        </w:rPr>
        <w:t xml:space="preserve">Bu çalışma [araştırma sorusunu] ele almaktadır. [Kuramsal yaklaşım veya yöntem] kullanılarak [temel bulgu veya öneri] ortaya konmuştur. Bulgular [sonuç ve katkıyı] göstermektedir. (150–250 kelime)</w:t>
      </w:r>
    </w:p>
    <w:p>
      <w:r>
        <w:t xml:space="preserve">Anahtar kelimeler: [kelime 1]; [kelime 2]; [kelime 3]; [kelime 4]; [kelime 5]</w:t>
      </w:r>
    </w:p>
    <w:p>
      <w:pPr>
        <w:pStyle w:val="Heading3"/>
      </w:pPr>
      <w:r>
        <w:t>Abstract</w:t>
      </w:r>
    </w:p>
    <w:p>
      <w:pPr>
        <w:ind w:left="360"/>
      </w:pPr>
      <w:r>
        <w:rPr>
          <w:i/>
          <w:color w:val="546E7A"/>
        </w:rPr>
        <w:t xml:space="preserve">This study addresses [research question]. Using [theoretical approach or method], [main finding or proposal] is presented. The findings indicate [results and contribution]. (150–250 words)</w:t>
      </w:r>
    </w:p>
    <w:p>
      <w:r>
        <w:t xml:space="preserve">Keywords: [keyword 1]; [keyword 2]; [keyword 3]; [keyword 4]; [keyword 5]</w:t>
      </w:r>
    </w:p>
    <w:p>
      <w:pPr>
        <w:pStyle w:val="Heading2"/>
      </w:pPr>
      <w:r>
        <w:t>7.3 Metin Bölümleri</w:t>
      </w:r>
    </w:p>
    <w:p>
      <w:r>
        <w:t xml:space="preserve">Gövde metni aşağıdaki numaralı iskelet üzerine kurulur:</w:t>
      </w:r>
    </w:p>
    <w:p>
      <w:pPr>
        <w:numPr>
          <w:ilvl w:val="0"/>
          <w:numId w:val="1"/>
        </w:numPr>
        <w:ind w:left="720" w:hanging="360" w:firstLine="0"/>
      </w:pPr>
      <w:r>
        <w:rPr>
          <w:b/>
        </w:rPr>
        <w:t>Giriş — </w:t>
      </w:r>
      <w:r>
        <w:t xml:space="preserve">[Sorun, literatürdeki boşluk, amaç ve katkı]</w:t>
      </w:r>
    </w:p>
    <w:p>
      <w:pPr>
        <w:numPr>
          <w:ilvl w:val="0"/>
          <w:numId w:val="1"/>
        </w:numPr>
        <w:ind w:left="720" w:hanging="360" w:firstLine="0"/>
      </w:pPr>
      <w:r>
        <w:rPr>
          <w:b/>
        </w:rPr>
        <w:t>Kuramsal çerçeve — </w:t>
      </w:r>
      <w:r>
        <w:t xml:space="preserve">[Temel kavramlar ve dayanaklar]</w:t>
      </w:r>
    </w:p>
    <w:p>
      <w:pPr>
        <w:numPr>
          <w:ilvl w:val="0"/>
          <w:numId w:val="1"/>
        </w:numPr>
        <w:ind w:left="720" w:hanging="360" w:firstLine="0"/>
      </w:pPr>
      <w:r>
        <w:rPr>
          <w:b/>
        </w:rPr>
        <w:t>Yöntem — </w:t>
      </w:r>
      <w:r>
        <w:t xml:space="preserve">[Örneklem, araçlar, süreç, analiz — ampirik çalışmalar için]</w:t>
      </w:r>
    </w:p>
    <w:p>
      <w:pPr>
        <w:numPr>
          <w:ilvl w:val="0"/>
          <w:numId w:val="1"/>
        </w:numPr>
        <w:ind w:left="720" w:hanging="360" w:firstLine="0"/>
      </w:pPr>
      <w:r>
        <w:rPr>
          <w:b/>
        </w:rPr>
        <w:t>Bulgular — </w:t>
      </w:r>
      <w:r>
        <w:t xml:space="preserve">[Sonuçlar, tablo ve şekil referanslarıyla]</w:t>
      </w:r>
    </w:p>
    <w:p>
      <w:pPr>
        <w:numPr>
          <w:ilvl w:val="0"/>
          <w:numId w:val="1"/>
        </w:numPr>
        <w:ind w:left="720" w:hanging="360" w:firstLine="0"/>
      </w:pPr>
      <w:r>
        <w:rPr>
          <w:b/>
        </w:rPr>
        <w:t>Tartışma — </w:t>
      </w:r>
      <w:r>
        <w:t xml:space="preserve">[Literatürle ilişki, kuramsal ve uygulamalı çıkarımlar]</w:t>
      </w:r>
    </w:p>
    <w:p>
      <w:pPr>
        <w:numPr>
          <w:ilvl w:val="0"/>
          <w:numId w:val="1"/>
        </w:numPr>
        <w:ind w:left="720" w:hanging="360" w:firstLine="0"/>
      </w:pPr>
      <w:r>
        <w:rPr>
          <w:b/>
        </w:rPr>
        <w:t>Sonuç ve sınırlılıklar — </w:t>
      </w:r>
      <w:r>
        <w:t xml:space="preserve">[Özet katkı, sınırlar, gelecek araştırmalar]</w:t>
      </w:r>
    </w:p>
    <w:p>
      <w:pPr>
        <w:numPr>
          <w:ilvl w:val="0"/>
          <w:numId w:val="1"/>
        </w:numPr>
        <w:ind w:left="720" w:hanging="360" w:firstLine="0"/>
      </w:pPr>
      <w:r>
        <w:rPr>
          <w:b/>
        </w:rPr>
        <w:t>Etik beyanlar — </w:t>
      </w:r>
      <w:r>
        <w:t xml:space="preserve">[Etik kurul onayı / çıkar çatışması / yazar katkıları / AI araç kullanımı]</w:t>
      </w:r>
    </w:p>
    <w:p>
      <w:pPr>
        <w:numPr>
          <w:ilvl w:val="0"/>
          <w:numId w:val="1"/>
        </w:numPr>
        <w:ind w:left="720" w:hanging="360" w:firstLine="0"/>
      </w:pPr>
      <w:r>
        <w:rPr>
          <w:b/>
        </w:rPr>
        <w:t>Kaynakça — </w:t>
      </w:r>
      <w:r>
        <w:t xml:space="preserve">[APA 7 biçiminde, alfabetik]</w:t>
      </w:r>
    </w:p>
    <w:p>
      <w:pPr>
        <w:pStyle w:val="Heading2"/>
      </w:pPr>
      <w:r>
        <w:t>7.4 Kaynakça Örnekleri</w:t>
      </w:r>
    </w:p>
    <w:p>
      <w:r>
        <w:t xml:space="preserve">Kitap:</w:t>
      </w:r>
    </w:p>
    <w:p>
      <w:pPr>
        <w:ind w:left="360"/>
      </w:pPr>
      <w:r>
        <w:rPr>
          <w:i/>
          <w:color w:val="546E7A"/>
        </w:rPr>
        <w:t xml:space="preserve">Costa, P. T., &amp; McCrae, R. R. (1992). NEO PI-R professional manual. Psychological Assessment Resources.</w:t>
      </w:r>
    </w:p>
    <w:p>
      <w:r>
        <w:t xml:space="preserve">Dergi makalesi:</w:t>
      </w:r>
    </w:p>
    <w:p>
      <w:pPr>
        <w:ind w:left="360"/>
      </w:pPr>
      <w:r>
        <w:rPr>
          <w:i/>
          <w:color w:val="546E7A"/>
        </w:rPr>
        <w:t xml:space="preserve">Yılmaz, A., &amp; Demir, K. (2024). Takım kimyasının iş performansına etkisi: Bir meta-analiz. BiriO Yayınları, 1(2), 34–52 (BA-2026-004).</w:t>
      </w:r>
    </w:p>
    <w:p>
      <w:r>
        <w:t xml:space="preserve">Kitap bölümü:</w:t>
      </w:r>
    </w:p>
    <w:p>
      <w:pPr>
        <w:ind w:left="360"/>
      </w:pPr>
      <w:r>
        <w:rPr>
          <w:i/>
          <w:color w:val="546E7A"/>
        </w:rPr>
        <w:t xml:space="preserve">Schmidt, F. L., &amp; Hunter, J. E. (1998). The validity and utility of selection methods in personnel psychology. Psychological Bulletin, 124(2), 262–274.</w:t>
      </w:r>
    </w:p>
    <w:p>
      <w:r>
        <w:t xml:space="preserve">Çevrim içi kaynak:</w:t>
      </w:r>
    </w:p>
    <w:p>
      <w:pPr>
        <w:ind w:left="360"/>
      </w:pPr>
      <w:r>
        <w:rPr>
          <w:i/>
          <w:color w:val="546E7A"/>
        </w:rPr>
        <w:t xml:space="preserve">O*NET Resource Center. (2025). O*NET 29.0 database. U.S. Department of Labor. https://www.onetcenter.org</w:t>
      </w:r>
    </w:p>
    <w:p>
      <w:pPr>
        <w:sectPr>
          <w:headerReference w:type="default" r:id="R08c8d913e7654dd8"/>
          <w:footerReference w:type="default" r:id="R6a911970f84a4d98"/>
          <w:pgSz w:w="11906" w:h="16838"/>
          <w:pgMar w:top="1800" w:right="1440" w:bottom="1440" w:left="1440" w:header="720" w:footer="720"/>
        </w:sectPr>
      </w:pPr>
    </w:p>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3" name="BackBg"/>
            <wp:cNvGraphicFramePr>
              <a:graphicFrameLocks noChangeAspect="1"/>
            </wp:cNvGraphicFramePr>
            <a:graphic>
              <a:graphicData uri="http://schemas.openxmlformats.org/drawingml/2006/picture">
                <pic:pic>
                  <pic:nvPicPr>
                    <pic:cNvPr id="0" name="BackBg.png"/>
                    <pic:cNvPicPr/>
                  </pic:nvPicPr>
                  <pic:blipFill>
                    <a:blip r:embed="Rbf0f5dc37cad41ef"/>
                    <a:stretch>
                      <a:fillRect/>
                    </a:stretch>
                  </pic:blipFill>
                  <pic:spPr>
                    <a:xfrm>
                      <a:off x="0" y="0"/>
                      <a:ext cx="7560000" cy="10692000"/>
                    </a:xfrm>
                    <a:prstGeom prst="rect"/>
                  </pic:spPr>
                </pic:pic>
              </a:graphicData>
            </a:graphic>
          </wp:anchor>
        </w:drawing>
      </w:r>
    </w:p>
    <w:p>
      <w:pPr>
        <w:spacing w:before="7000"/>
        <w:jc w:val="center"/>
      </w:pPr>
      <w:r>
        <w:rPr>
          <w:b/>
          <w:color w:val="E9EFF3"/>
          <w:sz w:val="44"/>
        </w:rPr>
        <w:t>BiriO Yayınları</w:t>
      </w:r>
    </w:p>
    <w:p>
      <w:pPr>
        <w:spacing w:before="320"/>
        <w:jc w:val="center"/>
      </w:pPr>
      <w:r>
        <w:rPr>
          <w:color w:val="A9C0CC"/>
          <w:sz w:val="22"/>
        </w:rPr>
        <w:t>İnsan, davranış ve organizasyon sistemleri üzerine akademik makaleler</w:t>
      </w:r>
    </w:p>
    <w:p>
      <w:pPr>
        <w:spacing w:before="400"/>
        <w:jc w:val="center"/>
      </w:pPr>
      <w:r>
        <w:rPr>
          <w:color w:val="7FA3B5"/>
          <w:sz w:val="18"/>
        </w:rPr>
        <w:t>birio.ai/yayinlar  ·  © 2026 BiriO</w:t>
      </w:r>
    </w:p>
    <w:sectPr>
      <w:headerReference w:type="default" r:id="Re8511d828b3548fc"/>
      <w:footerReference w:type="default" r:id="R34e41a44f41f438e"/>
      <w:pgSz w:w="11906" w:h="16838"/>
      <w:pgMar w:top="0" w:right="0" w:bottom="0" w:left="0" w:header="0" w:footer="0"/>
    </w:sectPr>
  </w:body>
</w:document>
</file>

<file path=word/footer1.xml><?xml version="1.0" encoding="utf-8"?>
<w:ftr xmlns:w="http://schemas.openxmlformats.org/wordprocessingml/2006/main">
  <w:p>
    <w:pPr>
      <w:jc w:val="center"/>
    </w:pPr>
    <w:r>
      <w:rPr>
        <w:color w:val="90A4AE"/>
        <w:sz w:val="17"/>
      </w:rPr>
      <w:fldChar w:fldCharType="begin"/>
    </w:r>
    <w:r>
      <w:rPr>
        <w:color w:val="90A4AE"/>
        <w:sz w:val="17"/>
      </w:rPr>
      <w:instrText xml:space="preserve"> PAGE </w:instrText>
    </w:r>
    <w:r>
      <w:rPr>
        <w:color w:val="90A4AE"/>
        <w:sz w:val="17"/>
      </w:rPr>
      <w:fldChar w:fldCharType="separate"/>
    </w:r>
    <w:r>
      <w:rPr>
        <w:color w:val="90A4AE"/>
        <w:sz w:val="17"/>
      </w:rPr>
      <w:t>1</w:t>
    </w:r>
    <w:r>
      <w:rPr>
        <w:color w:val="90A4AE"/>
        <w:sz w:val="17"/>
      </w:rPr>
      <w:fldChar w:fldCharType="end"/>
    </w:r>
    <w:r>
      <w:rPr>
        <w:color w:val="90A4AE"/>
        <w:sz w:val="17"/>
      </w:rPr>
      <w:t xml:space="preserve"> / </w:t>
    </w:r>
    <w:r>
      <w:rPr>
        <w:color w:val="90A4AE"/>
        <w:sz w:val="17"/>
      </w:rPr>
      <w:fldChar w:fldCharType="begin"/>
    </w:r>
    <w:r>
      <w:rPr>
        <w:color w:val="90A4AE"/>
        <w:sz w:val="17"/>
      </w:rPr>
      <w:instrText xml:space="preserve"> NUMPAGES </w:instrText>
    </w:r>
    <w:r>
      <w:rPr>
        <w:color w:val="90A4AE"/>
        <w:sz w:val="17"/>
      </w:rPr>
      <w:fldChar w:fldCharType="separate"/>
    </w:r>
    <w:r>
      <w:rPr>
        <w:color w:val="90A4AE"/>
        <w:sz w:val="17"/>
      </w:rPr>
      <w:t>1</w:t>
    </w:r>
    <w:r>
      <w:rPr>
        <w:color w:val="90A4AE"/>
        <w:sz w:val="17"/>
      </w:rPr>
      <w:fldChar w:fldCharType="end"/>
    </w:r>
  </w:p>
</w:ftr>
</file>

<file path=word/footer2.xml><?xml version="1.0" encoding="utf-8"?>
<w:ftr xmlns:w="http://schemas.openxmlformats.org/wordprocessingml/2006/main">
  <w:p/>
</w:ftr>
</file>

<file path=word/header1.xml><?xml version="1.0" encoding="utf-8"?>
<w:hdr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2" name="BodyBg"/>
          <wp:cNvGraphicFramePr>
            <a:graphicFrameLocks noChangeAspect="1"/>
          </wp:cNvGraphicFramePr>
          <a:graphic>
            <a:graphicData uri="http://schemas.openxmlformats.org/drawingml/2006/picture">
              <pic:pic>
                <pic:nvPicPr>
                  <pic:cNvPr id="0" name="BodyBg.png"/>
                  <pic:cNvPicPr/>
                </pic:nvPicPr>
                <pic:blipFill>
                  <a:blip r:embed="R9e8c2eae6f2045cc"/>
                  <a:stretch>
                    <a:fillRect/>
                  </a:stretch>
                </pic:blipFill>
                <pic:spPr>
                  <a:xfrm>
                    <a:off x="0" y="0"/>
                    <a:ext cx="7560000" cy="10692000"/>
                  </a:xfrm>
                  <a:prstGeom prst="rect"/>
                </pic:spPr>
              </pic:pic>
            </a:graphicData>
          </a:graphic>
        </wp:anchor>
      </w:drawing>
    </w:r>
  </w:p>
  <w:p>
    <w:pPr>
      <w:jc w:val="right"/>
    </w:pPr>
    <w:r>
      <w:rPr>
        <w:color w:val="90A4AE"/>
        <w:sz w:val="17"/>
      </w:rPr>
      <w:t>BiriO Yayınları · Yazar Yönergesi ve Makale Şablonu</w:t>
    </w:r>
  </w:p>
</w:hdr>
</file>

<file path=word/header2.xml><?xml version="1.0" encoding="utf-8"?>
<w:hdr xmlns:w="http://schemas.openxmlformats.org/wordprocessingml/2006/main">
  <w:p/>
</w:hdr>
</file>

<file path=word/numbering.xml><?xml version="1.0" encoding="utf-8"?>
<w:numbering xmlns:w="http://schemas.openxmlformats.org/wordprocessingml/2006/main">
  <w:abstractNum w:abstractNumId="1">
    <w:lvl w:ilvl="0">
      <w:numFmt w:val="decimal"/>
      <w:lvlText w:val="%1."/>
      <w:lvlJc w:val="left"/>
      <w:pPr>
        <w:ind w:left="720" w:hanging="360"/>
      </w:pPr>
    </w:lvl>
  </w:abstractNum>
  <w:abstractNum w:abstractNumId="2">
    <w:lvl w:ilvl="0">
      <w:numFmt w:val="bullet"/>
      <w:lvlText w:val="•"/>
      <w:lvlJc w:val="left"/>
      <w:pPr>
        <w:ind w:left="720" w:hanging="360"/>
      </w:pPr>
      <w:rPr>
        <w:rFonts w:ascii="Symbol" w:hAnsi="Symbol"/>
      </w:rPr>
    </w:lvl>
  </w:abstractNum>
  <w:num w:numId="1">
    <w:abstractNumId w:val="1"/>
  </w:num>
  <w:num w:numId="2">
    <w:abstractNumId w:val="2"/>
  </w:num>
</w:numbering>
</file>

<file path=word/settings.xml><?xml version="1.0" encoding="utf-8"?>
<w:settings xmlns:w="http://schemas.openxmlformats.org/wordprocessingml/2006/main">
  <w:displayBackgroundShape/>
  <w:updateFields w:val="true"/>
</w:settings>
</file>

<file path=word/styles.xml><?xml version="1.0" encoding="utf-8"?>
<w:styles xmlns:w="http://schemas.openxmlformats.org/wordprocessingml/2006/main">
  <w:style w:type="paragraph" w:styleId="Normal" w:default="true">
    <w:name w:val="Normal"/>
    <w:pPr>
      <w:spacing w:after="200" w:line="312" w:lineRule="auto"/>
      <w:jc w:val="both"/>
    </w:pPr>
    <w:rPr>
      <w:rFonts w:ascii="Calibri" w:hAnsi="Calibri"/>
      <w:color w:val="263238"/>
      <w:sz w:val="21"/>
    </w:rPr>
  </w:style>
  <w:style w:type="paragraph" w:styleId="Heading1">
    <w:name w:val="heading 1"/>
    <w:basedOn w:val="Normal"/>
    <w:pPr>
      <w:keepNext/>
      <w:keepLines/>
      <w:spacing w:before="640" w:after="240"/>
      <w:ind w:left="0" w:firstLine="0"/>
      <w:jc w:val="left"/>
      <w:outlineLvl w:val="0"/>
    </w:pPr>
    <w:rPr>
      <w:rFonts w:ascii="Calibri" w:hAnsi="Calibri"/>
      <w:b/>
      <w:color w:val="37474F"/>
      <w:sz w:val="32"/>
    </w:rPr>
  </w:style>
  <w:style w:type="paragraph" w:styleId="Heading2">
    <w:name w:val="heading 2"/>
    <w:basedOn w:val="Normal"/>
    <w:pPr>
      <w:keepNext/>
      <w:keepLines/>
      <w:spacing w:before="420" w:after="160"/>
      <w:ind w:left="0" w:firstLine="0"/>
      <w:jc w:val="left"/>
      <w:outlineLvl w:val="1"/>
    </w:pPr>
    <w:rPr>
      <w:rFonts w:ascii="Calibri" w:hAnsi="Calibri"/>
      <w:b/>
      <w:color w:val="263238"/>
      <w:sz w:val="26"/>
    </w:rPr>
  </w:style>
  <w:style w:type="paragraph" w:styleId="Heading3">
    <w:name w:val="heading 3"/>
    <w:basedOn w:val="Normal"/>
    <w:pPr>
      <w:keepNext/>
      <w:keepLines/>
      <w:spacing w:before="280" w:after="120"/>
      <w:ind w:left="0" w:firstLine="0"/>
      <w:jc w:val="left"/>
      <w:outlineLvl w:val="2"/>
    </w:pPr>
    <w:rPr>
      <w:rFonts w:ascii="Calibri" w:hAnsi="Calibri"/>
      <w:b/>
      <w:color w:val="546E7A"/>
      <w:sz w:val="23"/>
    </w:rPr>
  </w:style>
  <w:style w:type="paragraph" w:styleId="Caption">
    <w:name w:val="Caption"/>
    <w:basedOn w:val="Normal"/>
    <w:pPr>
      <w:spacing w:before="60" w:after="300"/>
      <w:jc w:val="center"/>
    </w:pPr>
    <w:rPr>
      <w:color w:val="90A4AE"/>
      <w:sz w:val="19"/>
    </w:rPr>
  </w:style>
  <w:style w:type="paragraph" w:styleId="TOC1">
    <w:name w:val="toc 1"/>
    <w:basedOn w:val="Normal"/>
    <w:pPr>
      <w:tabs>
        <w:tab w:val="right" w:leader="dot" w:pos="9350"/>
      </w:tabs>
      <w:spacing w:before="220" w:after="60"/>
      <w:ind w:left="0" w:firstLine="0"/>
      <w:jc w:val="left"/>
    </w:pPr>
    <w:rPr>
      <w:b/>
      <w:color w:val="263238"/>
    </w:rPr>
  </w:style>
  <w:style w:type="paragraph" w:styleId="TOC2">
    <w:name w:val="toc 2"/>
    <w:basedOn w:val="Normal"/>
    <w:pPr>
      <w:tabs>
        <w:tab w:val="right" w:leader="dot" w:pos="9350"/>
      </w:tabs>
      <w:spacing w:before="60" w:after="60"/>
      <w:ind w:left="360" w:firstLine="0"/>
      <w:jc w:val="left"/>
    </w:pPr>
    <w:rPr>
      <w:color w:val="546E7A"/>
    </w:rPr>
  </w:style>
</w:styles>
</file>

<file path=word/_rels/document.xml.rels><?xml version='1.0' encoding='UTF-8'?>
<Relationships xmlns="http://schemas.openxmlformats.org/package/2006/relationships"><Relationship Type="http://schemas.openxmlformats.org/officeDocument/2006/relationships/styles" Target="styles.xml" Id="R9561e54df40442f5" /><Relationship Type="http://schemas.openxmlformats.org/officeDocument/2006/relationships/numbering" Target="numbering.xml" Id="Ra65b05b8e1f84641" /><Relationship Type="http://schemas.openxmlformats.org/officeDocument/2006/relationships/image" Target="media/image.png" Id="Rec07d47ddfe24917" /><Relationship Type="http://schemas.openxmlformats.org/officeDocument/2006/relationships/image" Target="media/image2.png" Id="Rbf0f5dc37cad41ef" /><Relationship Type="http://schemas.openxmlformats.org/officeDocument/2006/relationships/header" Target="header1.xml" Id="R08c8d913e7654dd8" /><Relationship Type="http://schemas.openxmlformats.org/officeDocument/2006/relationships/footer" Target="footer1.xml" Id="R6a911970f84a4d98" /><Relationship Type="http://schemas.openxmlformats.org/officeDocument/2006/relationships/header" Target="header2.xml" Id="Re8511d828b3548fc" /><Relationship Type="http://schemas.openxmlformats.org/officeDocument/2006/relationships/footer" Target="footer2.xml" Id="R34e41a44f41f438e" /><Relationship Type="http://schemas.openxmlformats.org/officeDocument/2006/relationships/settings" Target="settings.xml" Id="R5c3f72f6a0024bff" /></Relationships>
</file>

<file path=word/_rels/header1.xml.rels><?xml version='1.0' encoding='UTF-8'?>
<Relationships xmlns="http://schemas.openxmlformats.org/package/2006/relationships"><Relationship Type="http://schemas.openxmlformats.org/officeDocument/2006/relationships/image" Target="media/image3.png" Id="R9e8c2eae6f2045cc" /></Relationships>
</file>